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20" w:lineRule="exact" w:after="100"/>
      </w:pPr>
      <w:r>
        <w:t>钢管喷漆前感应预热功率计算说明</w:t>
      </w:r>
    </w:p>
    <w:p>
      <w:pPr>
        <w:spacing w:line="320" w:lineRule="exact" w:after="100"/>
      </w:pPr>
      <w:r>
        <w:t>计算与工艺讨论稿    2026年10月16日</w:t>
      </w:r>
    </w:p>
    <w:p>
      <w:pPr>
        <w:spacing w:line="320" w:lineRule="exact" w:after="100"/>
      </w:pPr>
      <w:r>
        <w:t>本说明针对6–12米钢管以0.8 m/s穿过感应线圈、预热至70℃后进入管体喷漆的工况。按碳钢全壁厚由20℃升至70℃估算，最大规格Φ180×16 mm的电输入约1585 kW，含15%余量的装机参考约1823 kW。该结果用于初步容量讨论，最终选型需结合实际规格组合与试验确认。</w:t>
      </w:r>
    </w:p>
    <w:p>
      <w:pPr>
        <w:pStyle w:val="Heading1"/>
        <w:keepNext/>
        <w:spacing w:line="320" w:lineRule="exact" w:after="100"/>
      </w:pPr>
      <w:r>
        <w:t>一 计算条件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DDEAF3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项目</w:t>
            </w:r>
          </w:p>
        </w:tc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DDEAF3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取值与说明</w:t>
            </w:r>
          </w:p>
        </w:tc>
      </w:tr>
      <w:tr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钢管外径与壁厚</w:t>
            </w:r>
          </w:p>
        </w:tc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图片范围 Φ60–180 mm；壁厚3.18–16 mm</w:t>
            </w:r>
          </w:p>
        </w:tc>
      </w:tr>
      <w:tr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长度与线速度</w:t>
            </w:r>
          </w:p>
        </w:tc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用户要求6–12 m；计算速度0.8 m/s</w:t>
            </w:r>
          </w:p>
        </w:tc>
      </w:tr>
      <w:tr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初温与目标温度</w:t>
            </w:r>
          </w:p>
        </w:tc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假设20℃ → 70℃；温升50℃</w:t>
            </w:r>
          </w:p>
        </w:tc>
      </w:tr>
      <w:tr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材料计算参数</w:t>
            </w:r>
          </w:p>
        </w:tc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碳钢；密度7850 kg/m³；比热0.49 kJ/(kg·℃)</w:t>
            </w:r>
          </w:p>
        </w:tc>
      </w:tr>
      <w:tr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综合效率与余量</w:t>
            </w:r>
          </w:p>
        </w:tc>
        <w:tc>
          <w:tcPr>
            <w:tcW w:type="dxa" w:w="511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暂取80%；装机余量15%</w:t>
            </w:r>
          </w:p>
        </w:tc>
      </w:tr>
    </w:tbl>
    <w:p>
      <w:pPr>
        <w:spacing w:line="320" w:lineRule="exact" w:after="100"/>
      </w:pPr>
      <w:r>
        <w:t>说明：图片另列移动速度0.8–1 m/s、平均输出速度0.5 m/s、节拍24秒/根；本次按用户指定的0.8 m/s计算加热期间瞬时功率。外径和壁厚上下限的组合为包络演算，不代表每种组合均为实际生产规格。</w:t>
      </w:r>
    </w:p>
    <w:p>
      <w:pPr>
        <w:pStyle w:val="Heading1"/>
        <w:keepNext/>
        <w:spacing w:line="320" w:lineRule="exact" w:after="100"/>
      </w:pPr>
      <w:r>
        <w:t>二 计算方法</w:t>
      </w:r>
    </w:p>
    <w:p>
      <w:pPr>
        <w:spacing w:line="320" w:lineRule="exact" w:after="100"/>
      </w:pPr>
      <w:r>
        <w:t>米重 m′＝π×（D×δ－δ²）×0.00785，单位kg/m；D和δ均以mm计。</w:t>
      </w:r>
    </w:p>
    <w:p>
      <w:pPr>
        <w:spacing w:line="320" w:lineRule="exact" w:after="100"/>
      </w:pPr>
      <w:r>
        <w:t>钢管吸热功率 Q＝m′×v×c×ΔT；电输入 P＝Q÷η；装机参考 P选＝P×1.15。</w:t>
      </w:r>
    </w:p>
    <w:p>
      <w:pPr>
        <w:spacing w:line="320" w:lineRule="exact" w:after="100"/>
      </w:pPr>
      <w:r>
        <w:t>其中v为通过速度（m/s），c为比热（kJ/(kg·℃)），η为综合效率。本计算未另加散热项，以免与综合效率重复计入；效率仍需通过设备和工件试验校核。</w:t>
      </w:r>
    </w:p>
    <w:p>
      <w:pPr>
        <w:pStyle w:val="Heading1"/>
        <w:keepNext/>
        <w:pageBreakBefore/>
        <w:spacing w:line="320" w:lineRule="exact" w:after="100"/>
      </w:pPr>
      <w:r>
        <w:t>三 典型规格计算结果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DDEAF3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外径×壁厚</w:t>
              <w:br/>
              <w:t>mm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DDEAF3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米重</w:t>
              <w:br/>
              <w:t>kg/m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DDEAF3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吸热功率</w:t>
              <w:br/>
              <w:t>kW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DDEAF3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电输入</w:t>
              <w:br/>
              <w:t>kW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DDEAF3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含余量</w:t>
              <w:br/>
              <w:t>kW</w:t>
            </w:r>
          </w:p>
        </w:tc>
      </w:tr>
      <w:tr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Φ60×3.18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4.46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87.3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109.2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125.5</w:t>
            </w:r>
          </w:p>
        </w:tc>
      </w:tr>
      <w:tr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Φ60×16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17.36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340.3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425.4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489.2</w:t>
            </w:r>
          </w:p>
        </w:tc>
      </w:tr>
      <w:tr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Φ114×6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15.98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313.2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391.5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450.3</w:t>
            </w:r>
          </w:p>
        </w:tc>
      </w:tr>
      <w:tr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Φ180×3.18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13.87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271.8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339.7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390.7</w:t>
            </w:r>
          </w:p>
        </w:tc>
      </w:tr>
      <w:tr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Φ180×16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64.71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1268.4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1585.4</w:t>
            </w:r>
          </w:p>
        </w:tc>
        <w:tc>
          <w:tcPr>
            <w:tcW w:type="dxa" w:w="204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4F7FA"/>
          </w:tcPr>
          <w:p>
            <w:pPr>
              <w:spacing w:after="80" w:before="80" w:line="280" w:lineRule="exact"/>
              <w:jc w:val="center"/>
            </w:pPr>
            <w:r>
              <w:rPr>
                <w:sz w:val="20"/>
              </w:rPr>
              <w:t>1823.3</w:t>
            </w:r>
          </w:p>
        </w:tc>
      </w:tr>
    </w:tbl>
    <w:p>
      <w:pPr>
        <w:spacing w:line="320" w:lineRule="exact" w:after="100"/>
      </w:pPr>
      <w:r/>
    </w:p>
    <w:p>
      <w:pPr>
        <w:pStyle w:val="Heading1"/>
        <w:keepNext/>
        <w:spacing w:line="320" w:lineRule="exact" w:after="100"/>
      </w:pPr>
      <w:r>
        <w:t>四 最大规格复核与运行影响</w:t>
      </w:r>
    </w:p>
    <w:p>
      <w:pPr>
        <w:spacing w:line="320" w:lineRule="exact" w:after="100"/>
      </w:pPr>
      <w:r>
        <w:t>Φ180×16 mm钢管米重约64.71 kg/m；0.8 m/s时质量流量约51.77 kg/s。吸热功率为64.71×0.8×0.49×50＝1268.4 kW；电输入为1268.4÷0.80＝1585.4 kW；含15%余量为1823.3 kW。</w:t>
      </w:r>
    </w:p>
    <w:p>
      <w:pPr>
        <w:spacing w:line="320" w:lineRule="exact" w:after="100"/>
      </w:pPr>
      <w:r>
        <w:t>按上述条件，6米与12米单管通过固定位置分别需7.5秒和15秒，单根理论电输入耗电量分别约3.30和6.61 kWh，未含空载、启停及其他辅机耗电。管长影响单根耗电量和节拍，不改变相同规格、速度和温升下的连续加热瞬时功率。</w:t>
      </w:r>
    </w:p>
    <w:p>
      <w:pPr>
        <w:spacing w:line="320" w:lineRule="exact" w:after="100"/>
      </w:pPr>
      <w:r>
        <w:t>若初温为0℃，温升变为70℃，功率为本表的1.4倍；最大规格含余量约2552.6 kW。若速度升至1 m/s，功率为本表的1.25倍。平均节拍可用于估算周期耗电，但不能直接替代穿过线圈时的瞬时速度进行电源选型。</w:t>
      </w:r>
    </w:p>
    <w:p>
      <w:pPr>
        <w:pStyle w:val="Heading1"/>
        <w:keepNext/>
        <w:pageBreakBefore/>
        <w:spacing w:line="320" w:lineRule="exact" w:after="100"/>
      </w:pPr>
      <w:r>
        <w:t>五 三维工艺示意</w:t>
      </w:r>
    </w:p>
    <w:p>
      <w:pPr>
        <w:spacing w:line="240" w:lineRule="auto" w:after="100"/>
      </w:pPr>
      <w:r>
        <w:drawing>
          <wp:inline xmlns:a="http://schemas.openxmlformats.org/drawingml/2006/main" xmlns:pic="http://schemas.openxmlformats.org/drawingml/2006/picture">
            <wp:extent cx="6400800" cy="27035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-cr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035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320" w:lineRule="exact" w:after="100"/>
      </w:pPr>
      <w:r>
        <w:t>送料辊道 → 分段感应线圈 → 均温与测温 → 管体喷漆室</w:t>
      </w:r>
    </w:p>
    <w:p>
      <w:pPr>
        <w:spacing w:line="320" w:lineRule="exact" w:after="100"/>
      </w:pPr>
      <w:r>
        <w:t>图为非等比例概念示意，未确定线圈匝数、频率、净空和设备尺寸。交互图中的4米加热区仅用于演示，在0.8 m/s下停留5秒；该长度尚不能作为制造依据。Word内为静态图，交互操作保留在聊天中的三维图。</w:t>
      </w:r>
    </w:p>
    <w:p>
      <w:pPr>
        <w:pStyle w:val="Heading1"/>
        <w:keepNext/>
        <w:spacing w:line="320" w:lineRule="exact" w:after="100"/>
      </w:pPr>
      <w:r>
        <w:t>六 选型与验证要点</w:t>
      </w:r>
    </w:p>
    <w:p>
      <w:pPr>
        <w:spacing w:line="320" w:lineRule="exact" w:after="100"/>
      </w:pPr>
      <w:r>
        <w:t>1．先确认实际生产规格表、钢种、最低进管温度，以及70℃是外表面瞬时温度、喷漆入口表面温度，还是全壁厚均温要求。仅要求表面升温时，应另做瞬态传热计算与试验，不能直接按固定比例削减本表功率。</w:t>
      </w:r>
    </w:p>
    <w:p>
      <w:pPr>
        <w:spacing w:line="320" w:lineRule="exact" w:after="100"/>
      </w:pPr>
      <w:r>
        <w:t>2．按最大实际工况分段配置电源与线圈，结合耦合间隙、工作频率、厚壁导热时间和均温距离确定加热区长度，并校核电源额定输出与本表电输入口径的差异。</w:t>
      </w:r>
    </w:p>
    <w:p>
      <w:pPr>
        <w:spacing w:line="320" w:lineRule="exact" w:after="100"/>
      </w:pPr>
      <w:r>
        <w:t>3．在喷漆入口设置测温反馈，联动线速度与加热功率；校准低温金属表面的发射率，验证管头、管尾和周向温差。联锁应覆盖停管、缺水及超温等工况。</w:t>
      </w:r>
    </w:p>
    <w:p>
      <w:pPr>
        <w:spacing w:line="320" w:lineRule="exact" w:after="100"/>
      </w:pPr>
      <w:r>
        <w:t>资料依据：用户提供的设备生产能力图片及本次工况要求。工艺参考：Ambrell Conveyed Fluid Heating，https://www.ambrell.com/induction-heating-applications/conveyed-fluid-heating （仅支持环绕线圈与温度监控的工艺形式，不作为本次功率参数依据）。</w:t>
      </w:r>
    </w:p>
    <w:sectPr w:rsidR="00FC693F" w:rsidRPr="0006063C" w:rsidSect="00034616"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>钢管感应预热  |  初步计算与工艺讨论稿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after="120" w:line="283" w:lineRule="auto"/>
    </w:pPr>
    <w:rPr>
      <w:rFonts w:ascii="Noto Sans SC" w:hAnsi="Noto Sans SC" w:eastAsia="Noto Sans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480" w:after="0"/>
      <w:outlineLvl w:val="0"/>
    </w:pPr>
    <w:rPr>
      <w:rFonts w:asciiTheme="majorHAnsi" w:eastAsiaTheme="majorEastAsia" w:hAnsiTheme="majorHAnsi" w:cstheme="majorBidi" w:ascii="Noto Sans SC" w:hAnsi="Noto Sans SC" w:eastAsia="Noto Sans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200" w:after="0"/>
      <w:outlineLvl w:val="1"/>
    </w:pPr>
    <w:rPr>
      <w:rFonts w:asciiTheme="majorHAnsi" w:eastAsiaTheme="majorEastAsia" w:hAnsiTheme="majorHAnsi" w:cstheme="majorBidi" w:ascii="Noto Sans SC" w:hAnsi="Noto Sans SC" w:eastAsia="Noto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0"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0"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0"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0"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0"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0"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0"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keepNext w:val="0"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300" w:line="240" w:lineRule="auto"/>
      <w:contextualSpacing/>
    </w:pPr>
    <w:rPr>
      <w:rFonts w:asciiTheme="majorHAnsi" w:eastAsiaTheme="majorEastAsia" w:hAnsiTheme="majorHAnsi" w:cstheme="majorBidi" w:ascii="Noto Sans SC" w:hAnsi="Noto Sans SC" w:eastAsia="Noto Sans SC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keepNext w:val="0"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 w:val="0"/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keepNext w:val="0"/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keepNext w:val="0"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keepNext w:val="0"/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keepNext w:val="0"/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keepNext w:val="0"/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keepNext w:val="0"/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keepNext w:val="0"/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keepNext w:val="0"/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keepNext w:val="0"/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keepNext w:val="0"/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keepNext w:val="0"/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keepNext w:val="0"/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keepNext w:val="0"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 w:val="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keepNext w:val="0"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keepNext w:val="0"/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